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37B3" w14:textId="44F5C31F" w:rsidR="00475858" w:rsidRPr="00BC13DD" w:rsidRDefault="00475858" w:rsidP="00475858">
      <w:pPr>
        <w:pStyle w:val="a3"/>
        <w:tabs>
          <w:tab w:val="right" w:pos="9639"/>
        </w:tabs>
        <w:rPr>
          <w:rFonts w:eastAsia="MS Mincho"/>
          <w:noProof w:val="0"/>
          <w:sz w:val="24"/>
          <w:szCs w:val="24"/>
          <w:lang w:val="en-GB" w:eastAsia="en-GB"/>
        </w:rPr>
      </w:pPr>
      <w:bookmarkStart w:id="0" w:name="_Hlk92284859"/>
      <w:bookmarkEnd w:id="0"/>
      <w:r w:rsidRPr="00BC13DD">
        <w:rPr>
          <w:rFonts w:eastAsia="MS Mincho"/>
          <w:noProof w:val="0"/>
          <w:sz w:val="24"/>
          <w:szCs w:val="24"/>
          <w:lang w:val="en-GB" w:eastAsia="en-GB"/>
        </w:rPr>
        <w:t>3GPP TSG-RAN WG2 Meeting #11</w:t>
      </w:r>
      <w:r>
        <w:rPr>
          <w:rFonts w:eastAsia="MS Mincho"/>
          <w:noProof w:val="0"/>
          <w:sz w:val="24"/>
          <w:szCs w:val="24"/>
          <w:lang w:val="en-GB" w:eastAsia="en-GB"/>
        </w:rPr>
        <w:t>7</w:t>
      </w:r>
      <w:r w:rsidRPr="00BC13DD">
        <w:rPr>
          <w:rFonts w:eastAsia="MS Mincho"/>
          <w:noProof w:val="0"/>
          <w:sz w:val="24"/>
          <w:szCs w:val="24"/>
          <w:lang w:val="en-GB" w:eastAsia="en-GB"/>
        </w:rPr>
        <w:t xml:space="preserve"> electronic</w:t>
      </w:r>
      <w:r w:rsidRPr="00BC13DD">
        <w:rPr>
          <w:rFonts w:eastAsia="MS Mincho"/>
          <w:noProof w:val="0"/>
          <w:sz w:val="24"/>
          <w:szCs w:val="24"/>
          <w:lang w:val="en-GB" w:eastAsia="en-GB"/>
        </w:rPr>
        <w:tab/>
      </w:r>
      <w:r w:rsidR="00B76F77" w:rsidRPr="00B76F77">
        <w:rPr>
          <w:rFonts w:eastAsia="MS Mincho"/>
          <w:noProof w:val="0"/>
          <w:sz w:val="24"/>
          <w:szCs w:val="24"/>
          <w:lang w:val="en-GB" w:eastAsia="en-GB"/>
        </w:rPr>
        <w:t>R2-2202588</w:t>
      </w:r>
    </w:p>
    <w:p w14:paraId="4AA29EF9" w14:textId="79A1A6AA" w:rsidR="00934AFD" w:rsidRPr="001C7FAA" w:rsidRDefault="00475858" w:rsidP="00475858">
      <w:pPr>
        <w:pStyle w:val="a3"/>
        <w:tabs>
          <w:tab w:val="right" w:pos="9639"/>
        </w:tabs>
        <w:jc w:val="both"/>
        <w:rPr>
          <w:rFonts w:cs="Arial"/>
          <w:b w:val="0"/>
          <w:bCs/>
          <w:i/>
          <w:iCs/>
          <w:sz w:val="24"/>
          <w:lang w:eastAsia="zh-CN"/>
        </w:rPr>
      </w:pPr>
      <w:r w:rsidRPr="00BC13DD">
        <w:rPr>
          <w:rFonts w:eastAsia="MS Mincho"/>
          <w:noProof w:val="0"/>
          <w:sz w:val="24"/>
          <w:szCs w:val="24"/>
          <w:lang w:val="en-GB" w:eastAsia="en-GB"/>
        </w:rPr>
        <w:t xml:space="preserve">Online, </w:t>
      </w:r>
      <w:r w:rsidRPr="009E3743">
        <w:rPr>
          <w:rFonts w:eastAsia="MS Mincho" w:hint="eastAsia"/>
          <w:noProof w:val="0"/>
          <w:sz w:val="24"/>
          <w:szCs w:val="24"/>
          <w:lang w:val="en-GB" w:eastAsia="en-GB"/>
        </w:rPr>
        <w:t>February</w:t>
      </w:r>
      <w:r>
        <w:rPr>
          <w:rFonts w:eastAsia="MS Mincho"/>
          <w:noProof w:val="0"/>
          <w:sz w:val="24"/>
          <w:szCs w:val="24"/>
          <w:lang w:val="en-GB" w:eastAsia="en-GB"/>
        </w:rPr>
        <w:t xml:space="preserve"> 21</w:t>
      </w:r>
      <w:r w:rsidRPr="00BC13DD">
        <w:rPr>
          <w:rFonts w:eastAsia="MS Mincho"/>
          <w:noProof w:val="0"/>
          <w:sz w:val="24"/>
          <w:szCs w:val="24"/>
          <w:lang w:val="en-GB" w:eastAsia="en-GB"/>
        </w:rPr>
        <w:t xml:space="preserve"> </w:t>
      </w:r>
      <w:r>
        <w:rPr>
          <w:rFonts w:eastAsia="MS Mincho"/>
          <w:noProof w:val="0"/>
          <w:sz w:val="24"/>
          <w:szCs w:val="24"/>
          <w:lang w:val="en-GB" w:eastAsia="en-GB"/>
        </w:rPr>
        <w:t>–</w:t>
      </w:r>
      <w:r w:rsidRPr="00BC13DD">
        <w:rPr>
          <w:rFonts w:eastAsia="MS Mincho"/>
          <w:noProof w:val="0"/>
          <w:sz w:val="24"/>
          <w:szCs w:val="24"/>
          <w:lang w:val="en-GB" w:eastAsia="en-GB"/>
        </w:rPr>
        <w:t xml:space="preserve"> </w:t>
      </w:r>
      <w:r>
        <w:rPr>
          <w:rFonts w:eastAsia="MS Mincho"/>
          <w:noProof w:val="0"/>
          <w:sz w:val="24"/>
          <w:szCs w:val="24"/>
          <w:lang w:val="en-GB" w:eastAsia="en-GB"/>
        </w:rPr>
        <w:t>March 3</w:t>
      </w:r>
      <w:r w:rsidRPr="00BC13DD">
        <w:rPr>
          <w:rFonts w:eastAsia="MS Mincho"/>
          <w:noProof w:val="0"/>
          <w:sz w:val="24"/>
          <w:szCs w:val="24"/>
          <w:lang w:val="en-GB" w:eastAsia="en-GB"/>
        </w:rPr>
        <w:t>, 2022</w:t>
      </w:r>
      <w:r w:rsidR="00934AFD">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F4C793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75858">
        <w:rPr>
          <w:rFonts w:eastAsia="宋体" w:cs="Arial"/>
          <w:b/>
          <w:bCs/>
          <w:kern w:val="2"/>
          <w:sz w:val="24"/>
          <w:szCs w:val="22"/>
          <w:lang w:val="en-US" w:eastAsia="zh-CN"/>
        </w:rPr>
        <w:t>2.2</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792C96E5" w14:textId="038DDFB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87568" w:rsidRPr="00887568">
        <w:rPr>
          <w:rFonts w:ascii="Arial" w:hAnsi="Arial" w:cs="Arial"/>
          <w:b/>
          <w:bCs/>
          <w:sz w:val="24"/>
        </w:rPr>
        <w:t>Contents of UE assistance for measurement window and gap configuration in NTN</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49109599"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RAN2#11</w:t>
      </w:r>
      <w:r w:rsidR="00E541C0">
        <w:rPr>
          <w:rFonts w:ascii="Times New Roman" w:hAnsi="Times New Roman"/>
          <w:sz w:val="20"/>
          <w:szCs w:val="20"/>
          <w:lang w:val="en-GB"/>
        </w:rPr>
        <w:t>5</w:t>
      </w:r>
      <w:r>
        <w:rPr>
          <w:rFonts w:ascii="Times New Roman" w:hAnsi="Times New Roman"/>
          <w:sz w:val="20"/>
          <w:szCs w:val="20"/>
          <w:lang w:val="en-GB"/>
        </w:rPr>
        <w:t xml:space="preserve">e meeting made the following agreements regarding </w:t>
      </w:r>
      <w:r w:rsidR="00AA0BF3">
        <w:rPr>
          <w:rFonts w:ascii="Times New Roman" w:hAnsi="Times New Roman"/>
          <w:sz w:val="20"/>
          <w:szCs w:val="20"/>
          <w:lang w:val="en-GB"/>
        </w:rPr>
        <w:t xml:space="preserve">the contents of </w:t>
      </w:r>
      <w:r>
        <w:rPr>
          <w:rFonts w:ascii="Times New Roman" w:hAnsi="Times New Roman"/>
          <w:sz w:val="20"/>
          <w:szCs w:val="20"/>
          <w:lang w:val="en-GB"/>
        </w:rPr>
        <w:t xml:space="preserve">UE assistance for </w:t>
      </w:r>
      <w:r w:rsidRPr="003931D6">
        <w:rPr>
          <w:rFonts w:ascii="Times New Roman" w:hAnsi="Times New Roman"/>
          <w:sz w:val="20"/>
          <w:szCs w:val="20"/>
          <w:lang w:val="en-GB"/>
        </w:rPr>
        <w:t>measurement gap and SMTC configuration in NTN</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46532751" w14:textId="398937CE" w:rsidR="00E541C0" w:rsidRPr="00E541C0" w:rsidRDefault="00E541C0" w:rsidP="00E541C0">
            <w:pPr>
              <w:pStyle w:val="Comments"/>
              <w:ind w:left="420"/>
              <w:rPr>
                <w:rFonts w:ascii="Times New Roman" w:hAnsi="Times New Roman"/>
                <w:b/>
                <w:bCs/>
                <w:i w:val="0"/>
                <w:iCs/>
                <w:sz w:val="20"/>
                <w:szCs w:val="20"/>
              </w:rPr>
            </w:pPr>
            <w:r w:rsidRPr="00E541C0">
              <w:rPr>
                <w:rFonts w:ascii="Times New Roman" w:hAnsi="Times New Roman"/>
                <w:b/>
                <w:bCs/>
                <w:i w:val="0"/>
                <w:iCs/>
                <w:sz w:val="20"/>
                <w:szCs w:val="20"/>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6B63E32" w14:textId="1743B82C" w:rsidR="003931D6" w:rsidRPr="00686606" w:rsidRDefault="00E541C0" w:rsidP="00E541C0">
            <w:pPr>
              <w:pStyle w:val="Comments"/>
              <w:ind w:left="420"/>
              <w:rPr>
                <w:rFonts w:ascii="Times New Roman" w:hAnsi="Times New Roman"/>
                <w:b/>
                <w:bCs/>
                <w:i w:val="0"/>
                <w:iCs/>
                <w:sz w:val="20"/>
                <w:szCs w:val="20"/>
              </w:rPr>
            </w:pPr>
            <w:r w:rsidRPr="00E541C0">
              <w:rPr>
                <w:rFonts w:ascii="Times New Roman" w:hAnsi="Times New Roman"/>
                <w:b/>
                <w:bCs/>
                <w:i w:val="0"/>
                <w:iCs/>
                <w:sz w:val="20"/>
                <w:szCs w:val="20"/>
              </w:rPr>
              <w:t>In NTN, it is necessary of the UE to report assistant information to the NW (which can be configured by NW or upon NW’s request) to assist NW calculating the offset for SMTC/GAP configurations. FFS the detailed information.</w:t>
            </w:r>
          </w:p>
        </w:tc>
      </w:tr>
    </w:tbl>
    <w:p w14:paraId="2F408294" w14:textId="1C47D95D" w:rsidR="00182C9C" w:rsidRDefault="00AA0BF3" w:rsidP="000B6AD1">
      <w:pPr>
        <w:rPr>
          <w:rFonts w:ascii="Times New Roman" w:hAnsi="Times New Roman"/>
          <w:sz w:val="20"/>
          <w:szCs w:val="20"/>
          <w:lang w:val="en-GB"/>
        </w:rPr>
      </w:pPr>
      <w:r>
        <w:rPr>
          <w:rFonts w:ascii="Times New Roman" w:hAnsi="Times New Roman"/>
          <w:sz w:val="20"/>
          <w:szCs w:val="20"/>
          <w:lang w:val="en-GB"/>
        </w:rPr>
        <w:t>In t</w:t>
      </w:r>
      <w:r w:rsidR="00686606">
        <w:rPr>
          <w:rFonts w:ascii="Times New Roman" w:hAnsi="Times New Roman"/>
          <w:sz w:val="20"/>
          <w:szCs w:val="20"/>
          <w:lang w:val="en-GB"/>
        </w:rPr>
        <w:t xml:space="preserve">his contribution </w:t>
      </w:r>
      <w:r>
        <w:rPr>
          <w:rFonts w:ascii="Times New Roman" w:hAnsi="Times New Roman"/>
          <w:sz w:val="20"/>
          <w:szCs w:val="20"/>
          <w:lang w:val="en-GB"/>
        </w:rPr>
        <w:t>we</w:t>
      </w:r>
      <w:r w:rsidR="00686606">
        <w:rPr>
          <w:rFonts w:ascii="Times New Roman" w:hAnsi="Times New Roman"/>
          <w:sz w:val="20"/>
          <w:szCs w:val="20"/>
          <w:lang w:val="en-GB"/>
        </w:rPr>
        <w:t xml:space="preserve"> discuss the contents</w:t>
      </w:r>
      <w:r>
        <w:rPr>
          <w:rFonts w:ascii="Times New Roman" w:hAnsi="Times New Roman"/>
          <w:sz w:val="20"/>
          <w:szCs w:val="20"/>
          <w:lang w:val="en-GB"/>
        </w:rPr>
        <w:t xml:space="preserve"> of the</w:t>
      </w:r>
      <w:r w:rsidR="00686606">
        <w:rPr>
          <w:rFonts w:ascii="Times New Roman" w:hAnsi="Times New Roman"/>
          <w:sz w:val="20"/>
          <w:szCs w:val="20"/>
          <w:lang w:val="en-GB"/>
        </w:rPr>
        <w:t xml:space="preserve"> </w:t>
      </w:r>
      <w:r w:rsidRPr="00AA0BF3">
        <w:rPr>
          <w:rFonts w:ascii="Times New Roman" w:hAnsi="Times New Roman"/>
          <w:sz w:val="20"/>
          <w:szCs w:val="20"/>
          <w:lang w:val="en-GB"/>
        </w:rPr>
        <w:t>detailed information</w:t>
      </w:r>
      <w:r w:rsidR="00686606">
        <w:rPr>
          <w:rFonts w:ascii="Times New Roman" w:hAnsi="Times New Roman"/>
          <w:sz w:val="20"/>
          <w:szCs w:val="20"/>
          <w:lang w:val="en-GB"/>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FE8739A" w14:textId="6E7D0FAA" w:rsidR="00682628" w:rsidRDefault="00682628" w:rsidP="00E541C0">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lthough discussed in the email discussion </w:t>
      </w:r>
      <w:r w:rsidRPr="00682628">
        <w:rPr>
          <w:rFonts w:ascii="Times New Roman" w:hAnsi="Times New Roman"/>
          <w:b/>
          <w:bCs/>
          <w:sz w:val="20"/>
          <w:szCs w:val="20"/>
        </w:rPr>
        <w:t>[AT116-e][</w:t>
      </w:r>
      <w:proofErr w:type="gramStart"/>
      <w:r w:rsidRPr="00682628">
        <w:rPr>
          <w:rFonts w:ascii="Times New Roman" w:hAnsi="Times New Roman"/>
          <w:b/>
          <w:bCs/>
          <w:sz w:val="20"/>
          <w:szCs w:val="20"/>
        </w:rPr>
        <w:t>103][</w:t>
      </w:r>
      <w:proofErr w:type="gramEnd"/>
      <w:r w:rsidRPr="00682628">
        <w:rPr>
          <w:rFonts w:ascii="Times New Roman" w:hAnsi="Times New Roman"/>
          <w:b/>
          <w:bCs/>
          <w:sz w:val="20"/>
          <w:szCs w:val="20"/>
        </w:rPr>
        <w:t>NTN] SMTC and gaps</w:t>
      </w:r>
      <w:r>
        <w:rPr>
          <w:rFonts w:ascii="Times New Roman" w:hAnsi="Times New Roman"/>
          <w:sz w:val="20"/>
          <w:szCs w:val="20"/>
        </w:rPr>
        <w:t xml:space="preserve">, no further conclusion was made for the detailed information of UE assistance. The </w:t>
      </w:r>
      <w:r w:rsidRPr="00682628">
        <w:rPr>
          <w:rFonts w:ascii="Times New Roman" w:hAnsi="Times New Roman"/>
          <w:sz w:val="20"/>
          <w:szCs w:val="20"/>
        </w:rPr>
        <w:t>main divergence</w:t>
      </w:r>
      <w:r>
        <w:rPr>
          <w:rFonts w:ascii="Times New Roman" w:hAnsi="Times New Roman"/>
          <w:sz w:val="20"/>
          <w:szCs w:val="20"/>
        </w:rPr>
        <w:t xml:space="preserve"> is whether to include propagation delay difference or UE location. </w:t>
      </w:r>
    </w:p>
    <w:p w14:paraId="46199E94" w14:textId="6A7121CE" w:rsidR="00682628" w:rsidRDefault="00C848CD" w:rsidP="00E541C0">
      <w:pPr>
        <w:rPr>
          <w:rFonts w:ascii="Times New Roman" w:hAnsi="Times New Roman"/>
          <w:sz w:val="20"/>
          <w:szCs w:val="20"/>
        </w:rPr>
      </w:pPr>
      <w:r w:rsidRPr="00686606">
        <w:rPr>
          <w:rFonts w:ascii="Times New Roman" w:hAnsi="Times New Roman"/>
          <w:sz w:val="20"/>
          <w:szCs w:val="20"/>
        </w:rPr>
        <w:t xml:space="preserve">The key for UE assistance is to </w:t>
      </w:r>
      <w:r>
        <w:rPr>
          <w:rFonts w:ascii="Times New Roman" w:hAnsi="Times New Roman"/>
          <w:sz w:val="20"/>
          <w:szCs w:val="20"/>
        </w:rPr>
        <w:t>provide</w:t>
      </w:r>
      <w:r w:rsidRPr="00686606">
        <w:rPr>
          <w:rFonts w:ascii="Times New Roman" w:hAnsi="Times New Roman"/>
          <w:sz w:val="20"/>
          <w:szCs w:val="20"/>
        </w:rPr>
        <w:t xml:space="preserve"> the serving</w:t>
      </w:r>
      <w:r>
        <w:rPr>
          <w:rFonts w:ascii="Times New Roman" w:hAnsi="Times New Roman"/>
          <w:sz w:val="20"/>
          <w:szCs w:val="20"/>
        </w:rPr>
        <w:t xml:space="preserve"> cell</w:t>
      </w:r>
      <w:r w:rsidRPr="00686606">
        <w:rPr>
          <w:rFonts w:ascii="Times New Roman" w:hAnsi="Times New Roman"/>
          <w:sz w:val="20"/>
          <w:szCs w:val="20"/>
        </w:rPr>
        <w:t xml:space="preserve"> </w:t>
      </w:r>
      <w:r>
        <w:rPr>
          <w:rFonts w:ascii="Times New Roman" w:hAnsi="Times New Roman"/>
          <w:sz w:val="20"/>
          <w:szCs w:val="20"/>
        </w:rPr>
        <w:t xml:space="preserve">with </w:t>
      </w:r>
      <w:r w:rsidR="00D72EC7">
        <w:rPr>
          <w:rFonts w:ascii="Times New Roman" w:hAnsi="Times New Roman"/>
          <w:sz w:val="20"/>
          <w:szCs w:val="20"/>
        </w:rPr>
        <w:t>information</w:t>
      </w:r>
      <w:r>
        <w:rPr>
          <w:rFonts w:ascii="Times New Roman" w:hAnsi="Times New Roman"/>
          <w:sz w:val="20"/>
          <w:szCs w:val="20"/>
        </w:rPr>
        <w:t xml:space="preserve"> of</w:t>
      </w:r>
      <w:r w:rsidRPr="00686606">
        <w:rPr>
          <w:rFonts w:ascii="Times New Roman" w:hAnsi="Times New Roman"/>
          <w:sz w:val="20"/>
          <w:szCs w:val="20"/>
        </w:rPr>
        <w:t xml:space="preserve"> </w:t>
      </w:r>
      <w:r>
        <w:rPr>
          <w:rFonts w:ascii="Times New Roman" w:hAnsi="Times New Roman"/>
          <w:sz w:val="20"/>
          <w:szCs w:val="20"/>
        </w:rPr>
        <w:t>the</w:t>
      </w:r>
      <w:r w:rsidRPr="00686606">
        <w:rPr>
          <w:rFonts w:ascii="Times New Roman" w:hAnsi="Times New Roman"/>
          <w:sz w:val="20"/>
          <w:szCs w:val="20"/>
        </w:rPr>
        <w:t xml:space="preserve"> propagation delay difference</w:t>
      </w:r>
      <w:r w:rsidR="005A029C">
        <w:rPr>
          <w:rFonts w:ascii="Times New Roman" w:hAnsi="Times New Roman"/>
          <w:sz w:val="20"/>
          <w:szCs w:val="20"/>
        </w:rPr>
        <w:t>(s)</w:t>
      </w:r>
      <w:r>
        <w:rPr>
          <w:rFonts w:ascii="Times New Roman" w:hAnsi="Times New Roman"/>
          <w:sz w:val="20"/>
          <w:szCs w:val="20"/>
        </w:rPr>
        <w:t xml:space="preserve">, which is </w:t>
      </w:r>
      <w:r w:rsidR="00682628">
        <w:rPr>
          <w:rFonts w:ascii="Times New Roman" w:hAnsi="Times New Roman"/>
          <w:sz w:val="20"/>
          <w:szCs w:val="20"/>
        </w:rPr>
        <w:t xml:space="preserve">also </w:t>
      </w:r>
      <w:r>
        <w:rPr>
          <w:rFonts w:ascii="Times New Roman" w:hAnsi="Times New Roman"/>
          <w:sz w:val="20"/>
          <w:szCs w:val="20"/>
        </w:rPr>
        <w:t>the very reason of th</w:t>
      </w:r>
      <w:r w:rsidR="00682628">
        <w:rPr>
          <w:rFonts w:ascii="Times New Roman" w:hAnsi="Times New Roman"/>
          <w:sz w:val="20"/>
          <w:szCs w:val="20"/>
        </w:rPr>
        <w:t>e</w:t>
      </w:r>
      <w:r>
        <w:rPr>
          <w:rFonts w:ascii="Times New Roman" w:hAnsi="Times New Roman"/>
          <w:sz w:val="20"/>
          <w:szCs w:val="20"/>
        </w:rPr>
        <w:t xml:space="preserve"> issue. </w:t>
      </w:r>
      <w:r w:rsidR="00682628">
        <w:rPr>
          <w:rFonts w:ascii="Times New Roman" w:hAnsi="Times New Roman"/>
          <w:sz w:val="20"/>
          <w:szCs w:val="20"/>
        </w:rPr>
        <w:t xml:space="preserve">Therefore reporting the </w:t>
      </w:r>
      <w:r w:rsidR="00682628" w:rsidRPr="00D72EC7">
        <w:rPr>
          <w:rFonts w:ascii="Times New Roman" w:hAnsi="Times New Roman"/>
          <w:sz w:val="20"/>
          <w:szCs w:val="20"/>
        </w:rPr>
        <w:t>propagation delay difference</w:t>
      </w:r>
      <w:r w:rsidR="00682628">
        <w:rPr>
          <w:rFonts w:ascii="Times New Roman" w:hAnsi="Times New Roman"/>
          <w:sz w:val="20"/>
          <w:szCs w:val="20"/>
        </w:rPr>
        <w:t xml:space="preserve">(s) from the UE to its </w:t>
      </w:r>
      <w:r w:rsidR="00682628" w:rsidRPr="00D72EC7">
        <w:rPr>
          <w:rFonts w:ascii="Times New Roman" w:hAnsi="Times New Roman"/>
          <w:sz w:val="20"/>
          <w:szCs w:val="20"/>
        </w:rPr>
        <w:t>serving and neighbor</w:t>
      </w:r>
      <w:r w:rsidR="00682628">
        <w:rPr>
          <w:rFonts w:ascii="Times New Roman" w:hAnsi="Times New Roman"/>
          <w:sz w:val="20"/>
          <w:szCs w:val="20"/>
        </w:rPr>
        <w:t>ing</w:t>
      </w:r>
      <w:r w:rsidR="00682628" w:rsidRPr="00D72EC7">
        <w:rPr>
          <w:rFonts w:ascii="Times New Roman" w:hAnsi="Times New Roman"/>
          <w:sz w:val="20"/>
          <w:szCs w:val="20"/>
        </w:rPr>
        <w:t xml:space="preserve"> </w:t>
      </w:r>
      <w:r w:rsidR="00682628">
        <w:rPr>
          <w:rFonts w:ascii="Times New Roman" w:hAnsi="Times New Roman"/>
          <w:sz w:val="20"/>
          <w:szCs w:val="20"/>
        </w:rPr>
        <w:t>cell(s) is the most straight-forward way and the NW can directly use it for measurement window/gap configuration.</w:t>
      </w:r>
    </w:p>
    <w:p w14:paraId="5DDE01E1" w14:textId="0F718462" w:rsidR="00686606" w:rsidRDefault="00D72EC7" w:rsidP="00E02A35">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w:t>
      </w:r>
      <w:r w:rsidR="00682628">
        <w:rPr>
          <w:rFonts w:ascii="Times New Roman" w:hAnsi="Times New Roman"/>
          <w:b/>
          <w:bCs/>
          <w:sz w:val="20"/>
          <w:szCs w:val="20"/>
          <w:lang w:val="en-GB"/>
        </w:rPr>
        <w:t xml:space="preserve">aims to </w:t>
      </w:r>
      <w:r w:rsidRPr="005A029C">
        <w:rPr>
          <w:rFonts w:ascii="Times New Roman" w:hAnsi="Times New Roman"/>
          <w:b/>
          <w:bCs/>
          <w:sz w:val="20"/>
          <w:szCs w:val="20"/>
          <w:lang w:val="en-GB"/>
        </w:rPr>
        <w:t>provid</w:t>
      </w:r>
      <w:r w:rsidR="00682628">
        <w:rPr>
          <w:rFonts w:ascii="Times New Roman" w:hAnsi="Times New Roman"/>
          <w:b/>
          <w:bCs/>
          <w:sz w:val="20"/>
          <w:szCs w:val="20"/>
          <w:lang w:val="en-GB"/>
        </w:rPr>
        <w:t>e</w:t>
      </w:r>
      <w:r w:rsidRPr="005A029C">
        <w:rPr>
          <w:rFonts w:ascii="Times New Roman" w:hAnsi="Times New Roman"/>
          <w:b/>
          <w:bCs/>
          <w:sz w:val="20"/>
          <w:szCs w:val="20"/>
          <w:lang w:val="en-GB"/>
        </w:rPr>
        <w:t xml:space="preserve"> </w:t>
      </w:r>
      <w:r w:rsidRPr="005A029C">
        <w:rPr>
          <w:rFonts w:ascii="Times New Roman" w:hAnsi="Times New Roman"/>
          <w:b/>
          <w:bCs/>
          <w:sz w:val="20"/>
          <w:szCs w:val="20"/>
        </w:rPr>
        <w:t xml:space="preserve">information of the propagation delay difference </w:t>
      </w:r>
      <w:r w:rsidR="00682628">
        <w:rPr>
          <w:rFonts w:ascii="Times New Roman" w:hAnsi="Times New Roman"/>
          <w:b/>
          <w:bCs/>
          <w:sz w:val="20"/>
          <w:szCs w:val="20"/>
        </w:rPr>
        <w:t xml:space="preserve">which </w:t>
      </w:r>
      <w:r w:rsidR="005A029C" w:rsidRPr="005A029C">
        <w:rPr>
          <w:rFonts w:ascii="Times New Roman" w:hAnsi="Times New Roman"/>
          <w:b/>
          <w:bCs/>
          <w:sz w:val="20"/>
          <w:szCs w:val="20"/>
        </w:rPr>
        <w:t xml:space="preserve">can help </w:t>
      </w:r>
      <w:r w:rsidR="00682628">
        <w:rPr>
          <w:rFonts w:ascii="Times New Roman" w:hAnsi="Times New Roman"/>
          <w:b/>
          <w:bCs/>
          <w:sz w:val="20"/>
          <w:szCs w:val="20"/>
        </w:rPr>
        <w:t xml:space="preserve">NW </w:t>
      </w:r>
      <w:r w:rsidR="005A029C" w:rsidRPr="005A029C">
        <w:rPr>
          <w:rFonts w:ascii="Times New Roman" w:hAnsi="Times New Roman"/>
          <w:b/>
          <w:bCs/>
          <w:sz w:val="20"/>
          <w:szCs w:val="20"/>
        </w:rPr>
        <w:t>in measurement gap and</w:t>
      </w:r>
      <w:r w:rsidR="005A029C">
        <w:rPr>
          <w:rFonts w:ascii="Times New Roman" w:hAnsi="Times New Roman"/>
          <w:b/>
          <w:bCs/>
          <w:sz w:val="20"/>
          <w:szCs w:val="20"/>
        </w:rPr>
        <w:t>/or</w:t>
      </w:r>
      <w:r w:rsidR="005A029C" w:rsidRPr="005A029C">
        <w:rPr>
          <w:rFonts w:ascii="Times New Roman" w:hAnsi="Times New Roman"/>
          <w:b/>
          <w:bCs/>
          <w:sz w:val="20"/>
          <w:szCs w:val="20"/>
        </w:rPr>
        <w:t xml:space="preserve"> SMTC configuration.</w:t>
      </w:r>
    </w:p>
    <w:p w14:paraId="7F4747F7" w14:textId="157C3215" w:rsidR="00682628" w:rsidRDefault="003F27E1" w:rsidP="00E02A35">
      <w:pPr>
        <w:rPr>
          <w:rFonts w:ascii="Times New Roman" w:hAnsi="Times New Roman"/>
          <w:sz w:val="20"/>
          <w:szCs w:val="20"/>
        </w:rPr>
      </w:pPr>
      <w:r>
        <w:rPr>
          <w:rFonts w:ascii="Times New Roman" w:hAnsi="Times New Roman"/>
          <w:sz w:val="20"/>
          <w:szCs w:val="20"/>
        </w:rPr>
        <w:t xml:space="preserve">Some companies prefer </w:t>
      </w:r>
      <w:r w:rsidRPr="003F27E1">
        <w:rPr>
          <w:rFonts w:ascii="Times New Roman" w:hAnsi="Times New Roman"/>
          <w:sz w:val="20"/>
          <w:szCs w:val="20"/>
        </w:rPr>
        <w:t>UE location reporting</w:t>
      </w:r>
      <w:r>
        <w:rPr>
          <w:rFonts w:ascii="Times New Roman" w:hAnsi="Times New Roman"/>
          <w:sz w:val="20"/>
          <w:szCs w:val="20"/>
        </w:rPr>
        <w:t xml:space="preserve"> as it may serve for other purposes including TA reporting. However UE location reporting is restricted by multiple factors</w:t>
      </w:r>
      <w:r>
        <w:rPr>
          <w:rFonts w:ascii="Times New Roman" w:hAnsi="Times New Roman" w:hint="eastAsia"/>
          <w:sz w:val="20"/>
          <w:szCs w:val="20"/>
        </w:rPr>
        <w:t>:</w:t>
      </w:r>
    </w:p>
    <w:p w14:paraId="668ED3B0" w14:textId="5600D26B" w:rsidR="009F3D0E" w:rsidRPr="00F371B6" w:rsidRDefault="003F27E1" w:rsidP="00F371B6">
      <w:pPr>
        <w:pStyle w:val="a6"/>
        <w:numPr>
          <w:ilvl w:val="0"/>
          <w:numId w:val="40"/>
        </w:numPr>
        <w:ind w:firstLineChars="0"/>
      </w:pPr>
      <w:r w:rsidRPr="00F371B6">
        <w:t xml:space="preserve">UE location reporting is subject to the user consent due to privacy concerns, which is still to be resolved by SA3. </w:t>
      </w:r>
      <w:r w:rsidR="009F3D0E" w:rsidRPr="00F371B6">
        <w:t>In the latest RAN2#116bis-e meeting, LSs from SA3 have indicated that UE consent for location reporting is necessary and UE should not send unprotected location information. As the deadline of Rel-17 approaches there is little possibility that SA3 provides an NTN-specific user consent mechanism, and it means that UE location reporting is not always available.</w:t>
      </w:r>
    </w:p>
    <w:p w14:paraId="78952CEF" w14:textId="479F9315" w:rsidR="009F3D0E" w:rsidRPr="00F371B6" w:rsidRDefault="009F3D0E" w:rsidP="00F371B6">
      <w:pPr>
        <w:pStyle w:val="a6"/>
        <w:numPr>
          <w:ilvl w:val="0"/>
          <w:numId w:val="40"/>
        </w:numPr>
        <w:ind w:firstLineChars="0"/>
      </w:pPr>
      <w:r w:rsidRPr="00F371B6">
        <w:rPr>
          <w:rFonts w:hint="eastAsia"/>
        </w:rPr>
        <w:t>E</w:t>
      </w:r>
      <w:r w:rsidRPr="00F371B6">
        <w:t xml:space="preserve">ven if the gNB has user consent, the location reported by UE could be unreliable and needs NW </w:t>
      </w:r>
      <w:r w:rsidRPr="00F371B6">
        <w:rPr>
          <w:rFonts w:hint="eastAsia"/>
          <w:lang w:eastAsia="zh-CN"/>
        </w:rPr>
        <w:t>verification</w:t>
      </w:r>
      <w:r w:rsidRPr="00F371B6">
        <w:t>. This issue has been identified as an objective to be solved in Rel-18 NR NTN.</w:t>
      </w:r>
    </w:p>
    <w:p w14:paraId="4FDA5994" w14:textId="32A55270" w:rsidR="009F3D0E" w:rsidRPr="00F371B6" w:rsidRDefault="009F3D0E" w:rsidP="00F371B6">
      <w:pPr>
        <w:pStyle w:val="a6"/>
        <w:numPr>
          <w:ilvl w:val="0"/>
          <w:numId w:val="40"/>
        </w:numPr>
        <w:ind w:firstLineChars="0"/>
      </w:pPr>
      <w:r w:rsidRPr="00F371B6">
        <w:rPr>
          <w:rFonts w:hint="eastAsia"/>
        </w:rPr>
        <w:t>A</w:t>
      </w:r>
      <w:r w:rsidRPr="00F371B6">
        <w:t xml:space="preserve">ssume that user consent is available and UE location reported is reliable, the </w:t>
      </w:r>
      <w:r w:rsidR="00F371B6" w:rsidRPr="00F371B6">
        <w:t>serving gNB</w:t>
      </w:r>
      <w:r w:rsidRPr="00F371B6">
        <w:t xml:space="preserve"> still needs to calculate the propagation delay difference(s).</w:t>
      </w:r>
      <w:r w:rsidR="00D634CD" w:rsidRPr="00F371B6">
        <w:t xml:space="preserve"> </w:t>
      </w:r>
      <w:r w:rsidR="00F371B6" w:rsidRPr="00F371B6">
        <w:t>It means that the serving gNB needs to have the ephemeris of all possible neighbour satellites.</w:t>
      </w:r>
    </w:p>
    <w:p w14:paraId="012918F9" w14:textId="7540DB1B" w:rsidR="00F371B6" w:rsidRPr="00F371B6" w:rsidRDefault="00F371B6" w:rsidP="009F3D0E">
      <w:pPr>
        <w:rPr>
          <w:rFonts w:ascii="Times New Roman" w:hAnsi="Times New Roman"/>
          <w:b/>
          <w:bCs/>
          <w:sz w:val="20"/>
          <w:szCs w:val="20"/>
        </w:rPr>
      </w:pPr>
      <w:r w:rsidRPr="00F371B6">
        <w:rPr>
          <w:rFonts w:ascii="Times New Roman" w:hAnsi="Times New Roman" w:hint="eastAsia"/>
          <w:b/>
          <w:bCs/>
          <w:sz w:val="20"/>
          <w:szCs w:val="20"/>
        </w:rPr>
        <w:lastRenderedPageBreak/>
        <w:t>O</w:t>
      </w:r>
      <w:r w:rsidRPr="00F371B6">
        <w:rPr>
          <w:rFonts w:ascii="Times New Roman" w:hAnsi="Times New Roman"/>
          <w:b/>
          <w:bCs/>
          <w:sz w:val="20"/>
          <w:szCs w:val="20"/>
        </w:rPr>
        <w:t xml:space="preserve">bservation 2: UE location reporting could be unavailable due to lack of user </w:t>
      </w:r>
      <w:proofErr w:type="gramStart"/>
      <w:r w:rsidRPr="00F371B6">
        <w:rPr>
          <w:rFonts w:ascii="Times New Roman" w:hAnsi="Times New Roman"/>
          <w:b/>
          <w:bCs/>
          <w:sz w:val="20"/>
          <w:szCs w:val="20"/>
        </w:rPr>
        <w:t>consent, and</w:t>
      </w:r>
      <w:proofErr w:type="gramEnd"/>
      <w:r w:rsidRPr="00F371B6">
        <w:rPr>
          <w:rFonts w:ascii="Times New Roman" w:hAnsi="Times New Roman"/>
          <w:b/>
          <w:bCs/>
          <w:sz w:val="20"/>
          <w:szCs w:val="20"/>
        </w:rPr>
        <w:t xml:space="preserve"> could be unreliable and needs NW verification.</w:t>
      </w:r>
    </w:p>
    <w:p w14:paraId="0E5E7E31" w14:textId="6D9B7D76" w:rsidR="009F3D0E" w:rsidRPr="009F3D0E" w:rsidRDefault="00F371B6" w:rsidP="009F3D0E">
      <w:pPr>
        <w:rPr>
          <w:rFonts w:ascii="Times New Roman" w:hAnsi="Times New Roman"/>
          <w:sz w:val="20"/>
          <w:szCs w:val="20"/>
        </w:rPr>
      </w:pPr>
      <w:r>
        <w:rPr>
          <w:rFonts w:ascii="Times New Roman" w:hAnsi="Times New Roman"/>
          <w:sz w:val="20"/>
          <w:szCs w:val="20"/>
        </w:rPr>
        <w:t>From the above analysis we suggest RAN2 using the</w:t>
      </w:r>
      <w:r w:rsidRPr="00686606">
        <w:rPr>
          <w:rFonts w:ascii="Times New Roman" w:hAnsi="Times New Roman"/>
          <w:sz w:val="20"/>
          <w:szCs w:val="20"/>
        </w:rPr>
        <w:t xml:space="preserve"> propagation delay difference</w:t>
      </w:r>
      <w:r>
        <w:rPr>
          <w:rFonts w:ascii="Times New Roman" w:hAnsi="Times New Roman"/>
          <w:sz w:val="20"/>
          <w:szCs w:val="20"/>
        </w:rPr>
        <w:t xml:space="preserve">(s) for UE assistance, which is </w:t>
      </w:r>
      <w:r w:rsidR="009F3D0E" w:rsidRPr="009F3D0E">
        <w:rPr>
          <w:rFonts w:ascii="Times New Roman" w:hAnsi="Times New Roman"/>
          <w:sz w:val="20"/>
          <w:szCs w:val="20"/>
        </w:rPr>
        <w:t xml:space="preserve">not relying on user consent </w:t>
      </w:r>
      <w:r>
        <w:rPr>
          <w:rFonts w:ascii="Times New Roman" w:hAnsi="Times New Roman"/>
          <w:sz w:val="20"/>
          <w:szCs w:val="20"/>
        </w:rPr>
        <w:t>or UE</w:t>
      </w:r>
      <w:r w:rsidR="009F3D0E" w:rsidRPr="009F3D0E">
        <w:rPr>
          <w:rFonts w:ascii="Times New Roman" w:hAnsi="Times New Roman"/>
          <w:sz w:val="20"/>
          <w:szCs w:val="20"/>
        </w:rPr>
        <w:t xml:space="preserve"> location </w:t>
      </w:r>
      <w:proofErr w:type="gramStart"/>
      <w:r w:rsidR="009F3D0E" w:rsidRPr="009F3D0E">
        <w:rPr>
          <w:rFonts w:ascii="Times New Roman" w:hAnsi="Times New Roman"/>
          <w:sz w:val="20"/>
          <w:szCs w:val="20"/>
        </w:rPr>
        <w:t>reporting</w:t>
      </w:r>
      <w:r>
        <w:rPr>
          <w:rFonts w:ascii="Times New Roman" w:hAnsi="Times New Roman"/>
          <w:sz w:val="20"/>
          <w:szCs w:val="20"/>
        </w:rPr>
        <w:t>, and</w:t>
      </w:r>
      <w:proofErr w:type="gramEnd"/>
      <w:r>
        <w:rPr>
          <w:rFonts w:ascii="Times New Roman" w:hAnsi="Times New Roman"/>
          <w:sz w:val="20"/>
          <w:szCs w:val="20"/>
        </w:rPr>
        <w:t xml:space="preserve"> does not need wait for the progress of other WGs</w:t>
      </w:r>
      <w:r w:rsidR="009F3D0E" w:rsidRPr="009F3D0E">
        <w:rPr>
          <w:rFonts w:ascii="Times New Roman" w:hAnsi="Times New Roman"/>
          <w:sz w:val="20"/>
          <w:szCs w:val="20"/>
        </w:rPr>
        <w:t>.</w:t>
      </w:r>
    </w:p>
    <w:p w14:paraId="0BA96A22" w14:textId="67DAC278" w:rsidR="005A029C" w:rsidRPr="005A029C" w:rsidRDefault="005A029C" w:rsidP="00E02A35">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 xml:space="preserve">roposal 1: RAN2 to </w:t>
      </w:r>
      <w:r w:rsidR="00F371B6">
        <w:rPr>
          <w:rFonts w:ascii="Times New Roman" w:hAnsi="Times New Roman"/>
          <w:b/>
          <w:bCs/>
          <w:sz w:val="20"/>
          <w:szCs w:val="20"/>
        </w:rPr>
        <w:t>decide</w:t>
      </w:r>
      <w:r w:rsidRPr="005A029C">
        <w:rPr>
          <w:rFonts w:ascii="Times New Roman" w:hAnsi="Times New Roman"/>
          <w:b/>
          <w:bCs/>
          <w:sz w:val="20"/>
          <w:szCs w:val="20"/>
        </w:rPr>
        <w:t xml:space="preserve"> including the propagation delay difference</w:t>
      </w:r>
      <w:r w:rsidR="00F371B6">
        <w:rPr>
          <w:rFonts w:ascii="Times New Roman" w:hAnsi="Times New Roman"/>
          <w:b/>
          <w:bCs/>
          <w:sz w:val="20"/>
          <w:szCs w:val="20"/>
        </w:rPr>
        <w:t>(s)</w:t>
      </w:r>
      <w:r w:rsidRPr="005A029C">
        <w:rPr>
          <w:rFonts w:ascii="Times New Roman" w:hAnsi="Times New Roman"/>
          <w:b/>
          <w:bCs/>
          <w:sz w:val="20"/>
          <w:szCs w:val="20"/>
        </w:rPr>
        <w:t xml:space="preserve"> from the UE to its serving and neighboring cells in UE assistance</w:t>
      </w:r>
      <w:r>
        <w:rPr>
          <w:rFonts w:ascii="Times New Roman" w:hAnsi="Times New Roman"/>
          <w:b/>
          <w:bCs/>
          <w:sz w:val="20"/>
          <w:szCs w:val="20"/>
        </w:rPr>
        <w:t xml:space="preserve"> </w:t>
      </w:r>
      <w:r w:rsidR="00F371B6">
        <w:rPr>
          <w:rFonts w:ascii="Times New Roman" w:hAnsi="Times New Roman"/>
          <w:b/>
          <w:bCs/>
          <w:sz w:val="20"/>
          <w:szCs w:val="20"/>
        </w:rPr>
        <w:t xml:space="preserve">information </w:t>
      </w:r>
      <w:r>
        <w:rPr>
          <w:rFonts w:ascii="Times New Roman" w:hAnsi="Times New Roman"/>
          <w:b/>
          <w:bCs/>
          <w:sz w:val="20"/>
          <w:szCs w:val="20"/>
        </w:rPr>
        <w:t xml:space="preserve">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w:t>
      </w:r>
    </w:p>
    <w:p w14:paraId="6D550771" w14:textId="6438B7EF" w:rsidR="005A029C" w:rsidRDefault="00A17021" w:rsidP="00E02A35">
      <w:pPr>
        <w:rPr>
          <w:rFonts w:ascii="Times New Roman" w:hAnsi="Times New Roman"/>
          <w:sz w:val="20"/>
          <w:szCs w:val="20"/>
          <w:lang w:val="en-GB"/>
        </w:rPr>
      </w:pPr>
      <w:r>
        <w:rPr>
          <w:rFonts w:ascii="Times New Roman" w:hAnsi="Times New Roman"/>
          <w:sz w:val="20"/>
          <w:szCs w:val="20"/>
          <w:lang w:val="en-GB"/>
        </w:rPr>
        <w:t>To</w:t>
      </w:r>
      <w:r w:rsidRPr="00A17021">
        <w:t xml:space="preserve"> </w:t>
      </w:r>
      <w:r w:rsidRPr="00A17021">
        <w:rPr>
          <w:rFonts w:ascii="Times New Roman" w:hAnsi="Times New Roman"/>
          <w:sz w:val="20"/>
          <w:szCs w:val="20"/>
          <w:lang w:val="en-GB"/>
        </w:rPr>
        <w:t xml:space="preserve">properly (re)configure measurement gap </w:t>
      </w:r>
      <w:r>
        <w:rPr>
          <w:rFonts w:ascii="Times New Roman" w:hAnsi="Times New Roman"/>
          <w:sz w:val="20"/>
          <w:szCs w:val="20"/>
          <w:lang w:val="en-GB"/>
        </w:rPr>
        <w:t>and</w:t>
      </w:r>
      <w:r w:rsidRPr="00A17021">
        <w:rPr>
          <w:rFonts w:ascii="Times New Roman" w:hAnsi="Times New Roman"/>
          <w:sz w:val="20"/>
          <w:szCs w:val="20"/>
          <w:lang w:val="en-GB"/>
        </w:rPr>
        <w:t xml:space="preserve"> SMTC</w:t>
      </w:r>
      <w:r>
        <w:rPr>
          <w:rFonts w:ascii="Times New Roman" w:hAnsi="Times New Roman"/>
          <w:sz w:val="20"/>
          <w:szCs w:val="20"/>
          <w:lang w:val="en-GB"/>
        </w:rPr>
        <w:t>, t</w:t>
      </w:r>
      <w:r w:rsidR="005A029C">
        <w:rPr>
          <w:rFonts w:ascii="Times New Roman" w:hAnsi="Times New Roman"/>
          <w:sz w:val="20"/>
          <w:szCs w:val="20"/>
          <w:lang w:val="en-GB"/>
        </w:rPr>
        <w:t>he following elements could be considered:</w:t>
      </w:r>
    </w:p>
    <w:p w14:paraId="7589668E" w14:textId="06DE4790" w:rsidR="005A029C" w:rsidRPr="00A17021" w:rsidRDefault="005A029C" w:rsidP="00971082">
      <w:pPr>
        <w:pStyle w:val="a6"/>
        <w:numPr>
          <w:ilvl w:val="0"/>
          <w:numId w:val="39"/>
        </w:numPr>
        <w:spacing w:after="0"/>
        <w:ind w:left="709" w:firstLineChars="0"/>
      </w:pPr>
      <w:r w:rsidRPr="00A17021">
        <w:t>The propagation delay from UE to its serving satellite (service link</w:t>
      </w:r>
      <w:r w:rsidR="00A17021" w:rsidRPr="00A17021">
        <w:t xml:space="preserve"> 1</w:t>
      </w:r>
      <w:proofErr w:type="gramStart"/>
      <w:r w:rsidRPr="00A17021">
        <w:t>);</w:t>
      </w:r>
      <w:proofErr w:type="gramEnd"/>
    </w:p>
    <w:p w14:paraId="029A96B7" w14:textId="6860458B" w:rsidR="005A029C" w:rsidRPr="00A17021" w:rsidRDefault="005A029C" w:rsidP="00971082">
      <w:pPr>
        <w:pStyle w:val="a6"/>
        <w:numPr>
          <w:ilvl w:val="0"/>
          <w:numId w:val="39"/>
        </w:numPr>
        <w:spacing w:after="0"/>
        <w:ind w:left="709" w:firstLineChars="0"/>
      </w:pPr>
      <w:r w:rsidRPr="00A17021">
        <w:t>The propagation delay from UE to its neighboring satellite (service link</w:t>
      </w:r>
      <w:r w:rsidR="00A17021" w:rsidRPr="00A17021">
        <w:t xml:space="preserve"> 2</w:t>
      </w:r>
      <w:proofErr w:type="gramStart"/>
      <w:r w:rsidRPr="00A17021">
        <w:t>);</w:t>
      </w:r>
      <w:proofErr w:type="gramEnd"/>
    </w:p>
    <w:p w14:paraId="5058CACC" w14:textId="30FA7BBF" w:rsidR="00A17021" w:rsidRPr="00A17021" w:rsidRDefault="00A17021" w:rsidP="00971082">
      <w:pPr>
        <w:pStyle w:val="a6"/>
        <w:numPr>
          <w:ilvl w:val="0"/>
          <w:numId w:val="39"/>
        </w:numPr>
        <w:spacing w:after="0"/>
        <w:ind w:left="709" w:firstLineChars="0"/>
      </w:pPr>
      <w:r w:rsidRPr="00A17021">
        <w:t>The propagation delay from serving satellite to serving gNB (feeder link 1</w:t>
      </w:r>
      <w:proofErr w:type="gramStart"/>
      <w:r w:rsidRPr="00A17021">
        <w:t>);</w:t>
      </w:r>
      <w:proofErr w:type="gramEnd"/>
    </w:p>
    <w:p w14:paraId="146A192C" w14:textId="51015574" w:rsidR="00A17021" w:rsidRPr="00A17021" w:rsidRDefault="00A17021" w:rsidP="00971082">
      <w:pPr>
        <w:pStyle w:val="a6"/>
        <w:numPr>
          <w:ilvl w:val="0"/>
          <w:numId w:val="39"/>
        </w:numPr>
        <w:spacing w:after="0"/>
        <w:ind w:left="709" w:firstLineChars="0"/>
      </w:pPr>
      <w:r w:rsidRPr="00A17021">
        <w:t>The propagation delay from neighboring satellite to neighboring gNB (feeder link 2).</w:t>
      </w:r>
    </w:p>
    <w:p w14:paraId="7D8F629A" w14:textId="7EAF4042" w:rsidR="00A17021" w:rsidRDefault="00A17021" w:rsidP="00E02A35">
      <w:pPr>
        <w:rPr>
          <w:rFonts w:ascii="Times New Roman" w:hAnsi="Times New Roman"/>
          <w:sz w:val="20"/>
          <w:szCs w:val="20"/>
          <w:lang w:val="en-GB"/>
        </w:rPr>
      </w:pPr>
      <w:r>
        <w:rPr>
          <w:rFonts w:ascii="Times New Roman" w:hAnsi="Times New Roman"/>
          <w:sz w:val="20"/>
          <w:szCs w:val="20"/>
          <w:lang w:val="en-GB"/>
        </w:rPr>
        <w:t xml:space="preserve">Note that the </w:t>
      </w:r>
      <w:r w:rsidR="00971082">
        <w:rPr>
          <w:rFonts w:ascii="Times New Roman" w:hAnsi="Times New Roman"/>
          <w:sz w:val="20"/>
          <w:szCs w:val="20"/>
          <w:lang w:val="en-GB"/>
        </w:rPr>
        <w:t>total</w:t>
      </w:r>
      <w:r>
        <w:rPr>
          <w:rFonts w:ascii="Times New Roman" w:hAnsi="Times New Roman"/>
          <w:sz w:val="20"/>
          <w:szCs w:val="20"/>
          <w:lang w:val="en-GB"/>
        </w:rPr>
        <w:t xml:space="preserve"> </w:t>
      </w:r>
      <w:r w:rsidRPr="00D72EC7">
        <w:rPr>
          <w:rFonts w:ascii="Times New Roman" w:hAnsi="Times New Roman"/>
          <w:sz w:val="20"/>
          <w:szCs w:val="20"/>
        </w:rPr>
        <w:t>propagation delay difference</w:t>
      </w:r>
      <w:r>
        <w:rPr>
          <w:rFonts w:ascii="Times New Roman" w:hAnsi="Times New Roman"/>
          <w:sz w:val="20"/>
          <w:szCs w:val="20"/>
        </w:rPr>
        <w:t xml:space="preserve"> from the UE to its </w:t>
      </w:r>
      <w:r w:rsidRPr="00D72EC7">
        <w:rPr>
          <w:rFonts w:ascii="Times New Roman" w:hAnsi="Times New Roman"/>
          <w:sz w:val="20"/>
          <w:szCs w:val="20"/>
        </w:rPr>
        <w:t xml:space="preserve">serving </w:t>
      </w:r>
      <w:r>
        <w:rPr>
          <w:rFonts w:ascii="Times New Roman" w:hAnsi="Times New Roman"/>
          <w:sz w:val="20"/>
          <w:szCs w:val="20"/>
        </w:rPr>
        <w:t xml:space="preserve">cell </w:t>
      </w:r>
      <w:r w:rsidRPr="00D72EC7">
        <w:rPr>
          <w:rFonts w:ascii="Times New Roman" w:hAnsi="Times New Roman"/>
          <w:sz w:val="20"/>
          <w:szCs w:val="20"/>
        </w:rPr>
        <w:t>and neighbor</w:t>
      </w:r>
      <w:r>
        <w:rPr>
          <w:rFonts w:ascii="Times New Roman" w:hAnsi="Times New Roman"/>
          <w:sz w:val="20"/>
          <w:szCs w:val="20"/>
        </w:rPr>
        <w:t>ing</w:t>
      </w:r>
      <w:r w:rsidRPr="00D72EC7">
        <w:rPr>
          <w:rFonts w:ascii="Times New Roman" w:hAnsi="Times New Roman"/>
          <w:sz w:val="20"/>
          <w:szCs w:val="20"/>
        </w:rPr>
        <w:t xml:space="preserve"> </w:t>
      </w:r>
      <w:r>
        <w:rPr>
          <w:rFonts w:ascii="Times New Roman" w:hAnsi="Times New Roman"/>
          <w:sz w:val="20"/>
          <w:szCs w:val="20"/>
        </w:rPr>
        <w:t>cell should be (1)-(2)</w:t>
      </w:r>
      <w:r w:rsidRPr="00A17021">
        <w:rPr>
          <w:rFonts w:ascii="Times New Roman" w:hAnsi="Times New Roman"/>
          <w:sz w:val="20"/>
          <w:szCs w:val="20"/>
        </w:rPr>
        <w:t xml:space="preserve"> </w:t>
      </w:r>
      <w:r>
        <w:rPr>
          <w:rFonts w:ascii="Times New Roman" w:hAnsi="Times New Roman"/>
          <w:sz w:val="20"/>
          <w:szCs w:val="20"/>
        </w:rPr>
        <w:t>+(3)-(4).</w:t>
      </w:r>
    </w:p>
    <w:p w14:paraId="3B382419" w14:textId="278840CE" w:rsidR="00A17021" w:rsidRDefault="00A17021" w:rsidP="00E02A35">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GNSS capability is assumed for UE and satellite ephemeris (both serving and neighboring) provision is agreed, (1) and (2) can be derived by UE. As discussed above, UE can report the result of (1)-(2) or just (2) </w:t>
      </w:r>
      <w:r w:rsidR="00021DB8">
        <w:rPr>
          <w:rFonts w:ascii="Times New Roman" w:hAnsi="Times New Roman" w:hint="eastAsia"/>
          <w:sz w:val="20"/>
          <w:szCs w:val="20"/>
          <w:lang w:val="en-GB"/>
        </w:rPr>
        <w:t>a</w:t>
      </w:r>
      <w:r>
        <w:rPr>
          <w:rFonts w:ascii="Times New Roman" w:hAnsi="Times New Roman"/>
          <w:sz w:val="20"/>
          <w:szCs w:val="20"/>
          <w:lang w:val="en-GB"/>
        </w:rPr>
        <w:t xml:space="preserve">s network </w:t>
      </w:r>
      <w:r w:rsidR="00021DB8">
        <w:rPr>
          <w:rFonts w:ascii="Times New Roman" w:hAnsi="Times New Roman"/>
          <w:sz w:val="20"/>
          <w:szCs w:val="20"/>
          <w:lang w:val="en-GB"/>
        </w:rPr>
        <w:t>can acquire</w:t>
      </w:r>
      <w:r>
        <w:rPr>
          <w:rFonts w:ascii="Times New Roman" w:hAnsi="Times New Roman"/>
          <w:sz w:val="20"/>
          <w:szCs w:val="20"/>
          <w:lang w:val="en-GB"/>
        </w:rPr>
        <w:t xml:space="preserve"> (1) e.g. via TA reporting. (3) and (4) are only relevant to network deployment</w:t>
      </w:r>
      <w:r w:rsidR="008D0DA2">
        <w:rPr>
          <w:rFonts w:ascii="Times New Roman" w:hAnsi="Times New Roman"/>
          <w:sz w:val="20"/>
          <w:szCs w:val="20"/>
          <w:lang w:val="en-GB"/>
        </w:rPr>
        <w:t xml:space="preserve"> so that serving cell can know (3)-(4) by network implementation.</w:t>
      </w:r>
    </w:p>
    <w:p w14:paraId="3E9CF97A" w14:textId="5BBB15B2"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sidR="00F371B6">
        <w:rPr>
          <w:rFonts w:ascii="Times New Roman" w:hAnsi="Times New Roman"/>
          <w:b/>
          <w:bCs/>
          <w:sz w:val="20"/>
          <w:szCs w:val="20"/>
          <w:lang w:val="en-GB"/>
        </w:rPr>
        <w:t>3</w:t>
      </w:r>
      <w:r w:rsidRPr="008D0DA2">
        <w:rPr>
          <w:rFonts w:ascii="Times New Roman" w:hAnsi="Times New Roman"/>
          <w:b/>
          <w:bCs/>
          <w:sz w:val="20"/>
          <w:szCs w:val="20"/>
          <w:lang w:val="en-GB"/>
        </w:rPr>
        <w:t>: Information of propagation delay difference between service links need to be provided to network by UE assistance.</w:t>
      </w:r>
    </w:p>
    <w:p w14:paraId="5E6EBBE6" w14:textId="2540177C"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sidR="00F371B6">
        <w:rPr>
          <w:rFonts w:ascii="Times New Roman" w:hAnsi="Times New Roman"/>
          <w:b/>
          <w:bCs/>
          <w:sz w:val="20"/>
          <w:szCs w:val="20"/>
          <w:lang w:val="en-GB"/>
        </w:rPr>
        <w:t>4</w:t>
      </w:r>
      <w:r w:rsidRPr="008D0DA2">
        <w:rPr>
          <w:rFonts w:ascii="Times New Roman" w:hAnsi="Times New Roman"/>
          <w:b/>
          <w:bCs/>
          <w:sz w:val="20"/>
          <w:szCs w:val="20"/>
          <w:lang w:val="en-GB"/>
        </w:rPr>
        <w:t>: Information of propagation delay difference between feeder links can be obtained by network implementation.</w:t>
      </w:r>
    </w:p>
    <w:p w14:paraId="5BA4C176" w14:textId="3D6BF123" w:rsidR="00A17021"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 xml:space="preserve">roposal 2: If Proposal 1 is agreed, the propagation delay difference(s) included in UE assistance </w:t>
      </w:r>
      <w:r w:rsidR="00F371B6">
        <w:rPr>
          <w:rFonts w:ascii="Times New Roman" w:hAnsi="Times New Roman"/>
          <w:b/>
          <w:bCs/>
          <w:sz w:val="20"/>
          <w:szCs w:val="20"/>
          <w:lang w:val="en-GB"/>
        </w:rPr>
        <w:t xml:space="preserve">information </w:t>
      </w:r>
      <w:r w:rsidRPr="008D0DA2">
        <w:rPr>
          <w:rFonts w:ascii="Times New Roman" w:hAnsi="Times New Roman"/>
          <w:b/>
          <w:bCs/>
          <w:sz w:val="20"/>
          <w:szCs w:val="20"/>
          <w:lang w:val="en-GB"/>
        </w:rPr>
        <w:t xml:space="preserve">are </w:t>
      </w:r>
      <w:r w:rsidR="00F371B6">
        <w:rPr>
          <w:rFonts w:ascii="Times New Roman" w:hAnsi="Times New Roman"/>
          <w:b/>
          <w:bCs/>
          <w:sz w:val="20"/>
          <w:szCs w:val="20"/>
          <w:lang w:val="en-GB"/>
        </w:rPr>
        <w:t>for</w:t>
      </w:r>
      <w:r w:rsidRPr="008D0DA2">
        <w:rPr>
          <w:rFonts w:ascii="Times New Roman" w:hAnsi="Times New Roman"/>
          <w:b/>
          <w:bCs/>
          <w:sz w:val="20"/>
          <w:szCs w:val="20"/>
          <w:lang w:val="en-GB"/>
        </w:rPr>
        <w:t xml:space="preserve"> the service links (i.e. UE to satellites)</w:t>
      </w:r>
      <w:r>
        <w:rPr>
          <w:rFonts w:ascii="Times New Roman" w:hAnsi="Times New Roman"/>
          <w:b/>
          <w:bCs/>
          <w:sz w:val="20"/>
          <w:szCs w:val="20"/>
          <w:lang w:val="en-GB"/>
        </w:rPr>
        <w: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BC5E8FA"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971082">
        <w:rPr>
          <w:rFonts w:ascii="Times New Roman" w:hAnsi="Times New Roman"/>
          <w:sz w:val="20"/>
          <w:szCs w:val="20"/>
          <w:lang w:val="en-GB"/>
        </w:rPr>
        <w:t xml:space="preserve">the contents </w:t>
      </w:r>
      <w:r w:rsidR="00F44BE3">
        <w:rPr>
          <w:rFonts w:ascii="Times New Roman" w:hAnsi="Times New Roman"/>
          <w:sz w:val="20"/>
          <w:szCs w:val="20"/>
          <w:lang w:val="en-GB"/>
        </w:rPr>
        <w:t xml:space="preserve">and methods </w:t>
      </w:r>
      <w:r w:rsidR="00971082">
        <w:rPr>
          <w:rFonts w:ascii="Times New Roman" w:hAnsi="Times New Roman"/>
          <w:sz w:val="20"/>
          <w:szCs w:val="20"/>
          <w:lang w:val="en-GB"/>
        </w:rPr>
        <w:t xml:space="preserve">of UE assistance for proper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configuration addressing</w:t>
      </w:r>
      <w:r w:rsidR="00971082" w:rsidRPr="00971082">
        <w:t xml:space="preserve"> </w:t>
      </w:r>
      <w:r w:rsidR="00971082" w:rsidRPr="00971082">
        <w:rPr>
          <w:rFonts w:ascii="Times New Roman" w:hAnsi="Times New Roman"/>
          <w:sz w:val="20"/>
          <w:szCs w:val="20"/>
          <w:lang w:val="en-GB"/>
        </w:rPr>
        <w:t xml:space="preserve">the different/larger propagation delays </w:t>
      </w:r>
      <w:r w:rsidR="00971082">
        <w:rPr>
          <w:rFonts w:ascii="Times New Roman" w:hAnsi="Times New Roman"/>
          <w:sz w:val="20"/>
          <w:szCs w:val="20"/>
          <w:lang w:val="en-GB"/>
        </w:rPr>
        <w:t>in NTN</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0ABF2787" w14:textId="77777777" w:rsidR="00F371B6" w:rsidRDefault="00F371B6" w:rsidP="00F371B6">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w:t>
      </w:r>
      <w:r>
        <w:rPr>
          <w:rFonts w:ascii="Times New Roman" w:hAnsi="Times New Roman"/>
          <w:b/>
          <w:bCs/>
          <w:sz w:val="20"/>
          <w:szCs w:val="20"/>
          <w:lang w:val="en-GB"/>
        </w:rPr>
        <w:t xml:space="preserve">aims to </w:t>
      </w:r>
      <w:r w:rsidRPr="005A029C">
        <w:rPr>
          <w:rFonts w:ascii="Times New Roman" w:hAnsi="Times New Roman"/>
          <w:b/>
          <w:bCs/>
          <w:sz w:val="20"/>
          <w:szCs w:val="20"/>
          <w:lang w:val="en-GB"/>
        </w:rPr>
        <w:t>provid</w:t>
      </w:r>
      <w:r>
        <w:rPr>
          <w:rFonts w:ascii="Times New Roman" w:hAnsi="Times New Roman"/>
          <w:b/>
          <w:bCs/>
          <w:sz w:val="20"/>
          <w:szCs w:val="20"/>
          <w:lang w:val="en-GB"/>
        </w:rPr>
        <w:t>e</w:t>
      </w:r>
      <w:r w:rsidRPr="005A029C">
        <w:rPr>
          <w:rFonts w:ascii="Times New Roman" w:hAnsi="Times New Roman"/>
          <w:b/>
          <w:bCs/>
          <w:sz w:val="20"/>
          <w:szCs w:val="20"/>
          <w:lang w:val="en-GB"/>
        </w:rPr>
        <w:t xml:space="preserve"> </w:t>
      </w:r>
      <w:r w:rsidRPr="005A029C">
        <w:rPr>
          <w:rFonts w:ascii="Times New Roman" w:hAnsi="Times New Roman"/>
          <w:b/>
          <w:bCs/>
          <w:sz w:val="20"/>
          <w:szCs w:val="20"/>
        </w:rPr>
        <w:t xml:space="preserve">information of the propagation delay difference </w:t>
      </w:r>
      <w:r>
        <w:rPr>
          <w:rFonts w:ascii="Times New Roman" w:hAnsi="Times New Roman"/>
          <w:b/>
          <w:bCs/>
          <w:sz w:val="20"/>
          <w:szCs w:val="20"/>
        </w:rPr>
        <w:t xml:space="preserve">which </w:t>
      </w:r>
      <w:r w:rsidRPr="005A029C">
        <w:rPr>
          <w:rFonts w:ascii="Times New Roman" w:hAnsi="Times New Roman"/>
          <w:b/>
          <w:bCs/>
          <w:sz w:val="20"/>
          <w:szCs w:val="20"/>
        </w:rPr>
        <w:t xml:space="preserve">can help </w:t>
      </w:r>
      <w:r>
        <w:rPr>
          <w:rFonts w:ascii="Times New Roman" w:hAnsi="Times New Roman"/>
          <w:b/>
          <w:bCs/>
          <w:sz w:val="20"/>
          <w:szCs w:val="20"/>
        </w:rPr>
        <w:t xml:space="preserve">NW </w:t>
      </w:r>
      <w:r w:rsidRPr="005A029C">
        <w:rPr>
          <w:rFonts w:ascii="Times New Roman" w:hAnsi="Times New Roman"/>
          <w:b/>
          <w:bCs/>
          <w:sz w:val="20"/>
          <w:szCs w:val="20"/>
        </w:rPr>
        <w:t>in 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w:t>
      </w:r>
    </w:p>
    <w:p w14:paraId="625C29DA" w14:textId="77777777" w:rsidR="00F371B6" w:rsidRPr="00F371B6" w:rsidRDefault="00F371B6" w:rsidP="00F371B6">
      <w:pPr>
        <w:rPr>
          <w:rFonts w:ascii="Times New Roman" w:hAnsi="Times New Roman"/>
          <w:b/>
          <w:bCs/>
          <w:sz w:val="20"/>
          <w:szCs w:val="20"/>
        </w:rPr>
      </w:pPr>
      <w:r w:rsidRPr="00F371B6">
        <w:rPr>
          <w:rFonts w:ascii="Times New Roman" w:hAnsi="Times New Roman" w:hint="eastAsia"/>
          <w:b/>
          <w:bCs/>
          <w:sz w:val="20"/>
          <w:szCs w:val="20"/>
        </w:rPr>
        <w:t>O</w:t>
      </w:r>
      <w:r w:rsidRPr="00F371B6">
        <w:rPr>
          <w:rFonts w:ascii="Times New Roman" w:hAnsi="Times New Roman"/>
          <w:b/>
          <w:bCs/>
          <w:sz w:val="20"/>
          <w:szCs w:val="20"/>
        </w:rPr>
        <w:t xml:space="preserve">bservation 2: UE location reporting could be unavailable due to lack of user </w:t>
      </w:r>
      <w:proofErr w:type="gramStart"/>
      <w:r w:rsidRPr="00F371B6">
        <w:rPr>
          <w:rFonts w:ascii="Times New Roman" w:hAnsi="Times New Roman"/>
          <w:b/>
          <w:bCs/>
          <w:sz w:val="20"/>
          <w:szCs w:val="20"/>
        </w:rPr>
        <w:t>consent, and</w:t>
      </w:r>
      <w:proofErr w:type="gramEnd"/>
      <w:r w:rsidRPr="00F371B6">
        <w:rPr>
          <w:rFonts w:ascii="Times New Roman" w:hAnsi="Times New Roman"/>
          <w:b/>
          <w:bCs/>
          <w:sz w:val="20"/>
          <w:szCs w:val="20"/>
        </w:rPr>
        <w:t xml:space="preserve"> could be unreliable and needs NW verification.</w:t>
      </w:r>
    </w:p>
    <w:p w14:paraId="04BE78CD" w14:textId="77777777" w:rsidR="00F371B6" w:rsidRPr="008D0DA2" w:rsidRDefault="00F371B6" w:rsidP="00F371B6">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8D0DA2">
        <w:rPr>
          <w:rFonts w:ascii="Times New Roman" w:hAnsi="Times New Roman"/>
          <w:b/>
          <w:bCs/>
          <w:sz w:val="20"/>
          <w:szCs w:val="20"/>
          <w:lang w:val="en-GB"/>
        </w:rPr>
        <w:t>: Information of propagation delay difference between service links need to be provided to network by UE assistance.</w:t>
      </w:r>
    </w:p>
    <w:p w14:paraId="1A2CF378" w14:textId="77777777" w:rsidR="00F371B6" w:rsidRPr="008D0DA2" w:rsidRDefault="00F371B6" w:rsidP="00F371B6">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8D0DA2">
        <w:rPr>
          <w:rFonts w:ascii="Times New Roman" w:hAnsi="Times New Roman"/>
          <w:b/>
          <w:bCs/>
          <w:sz w:val="20"/>
          <w:szCs w:val="20"/>
          <w:lang w:val="en-GB"/>
        </w:rPr>
        <w:t>: Information of propagation delay difference between feeder links can be obtained by network implementation.</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5237918D" w14:textId="77777777" w:rsidR="00F371B6" w:rsidRPr="005A029C" w:rsidRDefault="00F371B6" w:rsidP="00F371B6">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 xml:space="preserve">roposal 1: RAN2 to </w:t>
      </w:r>
      <w:r>
        <w:rPr>
          <w:rFonts w:ascii="Times New Roman" w:hAnsi="Times New Roman"/>
          <w:b/>
          <w:bCs/>
          <w:sz w:val="20"/>
          <w:szCs w:val="20"/>
        </w:rPr>
        <w:t>decide</w:t>
      </w:r>
      <w:r w:rsidRPr="005A029C">
        <w:rPr>
          <w:rFonts w:ascii="Times New Roman" w:hAnsi="Times New Roman"/>
          <w:b/>
          <w:bCs/>
          <w:sz w:val="20"/>
          <w:szCs w:val="20"/>
        </w:rPr>
        <w:t xml:space="preserve"> including the propagation delay difference</w:t>
      </w:r>
      <w:r>
        <w:rPr>
          <w:rFonts w:ascii="Times New Roman" w:hAnsi="Times New Roman"/>
          <w:b/>
          <w:bCs/>
          <w:sz w:val="20"/>
          <w:szCs w:val="20"/>
        </w:rPr>
        <w:t>(s)</w:t>
      </w:r>
      <w:r w:rsidRPr="005A029C">
        <w:rPr>
          <w:rFonts w:ascii="Times New Roman" w:hAnsi="Times New Roman"/>
          <w:b/>
          <w:bCs/>
          <w:sz w:val="20"/>
          <w:szCs w:val="20"/>
        </w:rPr>
        <w:t xml:space="preserve"> from the UE to its serving and neighboring cells in UE assistance</w:t>
      </w:r>
      <w:r>
        <w:rPr>
          <w:rFonts w:ascii="Times New Roman" w:hAnsi="Times New Roman"/>
          <w:b/>
          <w:bCs/>
          <w:sz w:val="20"/>
          <w:szCs w:val="20"/>
        </w:rPr>
        <w:t xml:space="preserve"> information 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w:t>
      </w:r>
    </w:p>
    <w:p w14:paraId="34FC931C" w14:textId="46E0E242" w:rsidR="00083898" w:rsidRPr="00F371B6" w:rsidRDefault="00F371B6" w:rsidP="00F371B6">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 xml:space="preserve">roposal 2: If Proposal 1 is agreed, the propagation delay difference(s) included in UE assistance </w:t>
      </w:r>
      <w:r>
        <w:rPr>
          <w:rFonts w:ascii="Times New Roman" w:hAnsi="Times New Roman"/>
          <w:b/>
          <w:bCs/>
          <w:sz w:val="20"/>
          <w:szCs w:val="20"/>
          <w:lang w:val="en-GB"/>
        </w:rPr>
        <w:t xml:space="preserve">information </w:t>
      </w:r>
      <w:r w:rsidRPr="008D0DA2">
        <w:rPr>
          <w:rFonts w:ascii="Times New Roman" w:hAnsi="Times New Roman"/>
          <w:b/>
          <w:bCs/>
          <w:sz w:val="20"/>
          <w:szCs w:val="20"/>
          <w:lang w:val="en-GB"/>
        </w:rPr>
        <w:t xml:space="preserve">are </w:t>
      </w:r>
      <w:r>
        <w:rPr>
          <w:rFonts w:ascii="Times New Roman" w:hAnsi="Times New Roman"/>
          <w:b/>
          <w:bCs/>
          <w:sz w:val="20"/>
          <w:szCs w:val="20"/>
          <w:lang w:val="en-GB"/>
        </w:rPr>
        <w:t>for</w:t>
      </w:r>
      <w:r w:rsidRPr="008D0DA2">
        <w:rPr>
          <w:rFonts w:ascii="Times New Roman" w:hAnsi="Times New Roman"/>
          <w:b/>
          <w:bCs/>
          <w:sz w:val="20"/>
          <w:szCs w:val="20"/>
          <w:lang w:val="en-GB"/>
        </w:rPr>
        <w:t xml:space="preserve"> the service links (i.e. UE to satellites)</w:t>
      </w:r>
      <w:r>
        <w:rPr>
          <w:rFonts w:ascii="Times New Roman" w:hAnsi="Times New Roman"/>
          <w:b/>
          <w:bCs/>
          <w:sz w:val="20"/>
          <w:szCs w:val="20"/>
          <w:lang w:val="en-GB"/>
        </w:rPr>
        <w:t>.</w:t>
      </w:r>
    </w:p>
    <w:sectPr w:rsidR="00083898" w:rsidRPr="00F371B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A6FD" w14:textId="77777777" w:rsidR="00EB6D67" w:rsidRDefault="00EB6D67">
      <w:r>
        <w:separator/>
      </w:r>
    </w:p>
  </w:endnote>
  <w:endnote w:type="continuationSeparator" w:id="0">
    <w:p w14:paraId="564C5DC5" w14:textId="77777777" w:rsidR="00EB6D67" w:rsidRDefault="00EB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FBDEB" w14:textId="77777777" w:rsidR="00EB6D67" w:rsidRDefault="00EB6D67">
      <w:r>
        <w:separator/>
      </w:r>
    </w:p>
  </w:footnote>
  <w:footnote w:type="continuationSeparator" w:id="0">
    <w:p w14:paraId="4C5E6BC5" w14:textId="77777777" w:rsidR="00EB6D67" w:rsidRDefault="00EB6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34"/>
  </w:num>
  <w:num w:numId="4">
    <w:abstractNumId w:val="4"/>
  </w:num>
  <w:num w:numId="5">
    <w:abstractNumId w:val="35"/>
  </w:num>
  <w:num w:numId="6">
    <w:abstractNumId w:val="17"/>
  </w:num>
  <w:num w:numId="7">
    <w:abstractNumId w:val="11"/>
  </w:num>
  <w:num w:numId="8">
    <w:abstractNumId w:val="28"/>
  </w:num>
  <w:num w:numId="9">
    <w:abstractNumId w:val="6"/>
  </w:num>
  <w:num w:numId="10">
    <w:abstractNumId w:val="23"/>
  </w:num>
  <w:num w:numId="11">
    <w:abstractNumId w:val="25"/>
  </w:num>
  <w:num w:numId="12">
    <w:abstractNumId w:val="21"/>
  </w:num>
  <w:num w:numId="13">
    <w:abstractNumId w:val="26"/>
  </w:num>
  <w:num w:numId="14">
    <w:abstractNumId w:val="15"/>
  </w:num>
  <w:num w:numId="15">
    <w:abstractNumId w:val="3"/>
  </w:num>
  <w:num w:numId="16">
    <w:abstractNumId w:val="22"/>
  </w:num>
  <w:num w:numId="17">
    <w:abstractNumId w:val="30"/>
  </w:num>
  <w:num w:numId="18">
    <w:abstractNumId w:val="24"/>
  </w:num>
  <w:num w:numId="19">
    <w:abstractNumId w:val="30"/>
  </w:num>
  <w:num w:numId="20">
    <w:abstractNumId w:val="29"/>
  </w:num>
  <w:num w:numId="21">
    <w:abstractNumId w:val="30"/>
  </w:num>
  <w:num w:numId="22">
    <w:abstractNumId w:val="9"/>
  </w:num>
  <w:num w:numId="23">
    <w:abstractNumId w:val="30"/>
  </w:num>
  <w:num w:numId="24">
    <w:abstractNumId w:val="8"/>
  </w:num>
  <w:num w:numId="25">
    <w:abstractNumId w:val="7"/>
  </w:num>
  <w:num w:numId="26">
    <w:abstractNumId w:val="18"/>
  </w:num>
  <w:num w:numId="27">
    <w:abstractNumId w:val="31"/>
  </w:num>
  <w:num w:numId="28">
    <w:abstractNumId w:val="5"/>
  </w:num>
  <w:num w:numId="29">
    <w:abstractNumId w:val="27"/>
  </w:num>
  <w:num w:numId="30">
    <w:abstractNumId w:val="16"/>
  </w:num>
  <w:num w:numId="31">
    <w:abstractNumId w:val="36"/>
  </w:num>
  <w:num w:numId="32">
    <w:abstractNumId w:val="19"/>
  </w:num>
  <w:num w:numId="33">
    <w:abstractNumId w:val="1"/>
  </w:num>
  <w:num w:numId="34">
    <w:abstractNumId w:val="12"/>
  </w:num>
  <w:num w:numId="35">
    <w:abstractNumId w:val="0"/>
  </w:num>
  <w:num w:numId="36">
    <w:abstractNumId w:val="32"/>
  </w:num>
  <w:num w:numId="37">
    <w:abstractNumId w:val="13"/>
  </w:num>
  <w:num w:numId="38">
    <w:abstractNumId w:val="10"/>
  </w:num>
  <w:num w:numId="39">
    <w:abstractNumId w:val="33"/>
  </w:num>
  <w:num w:numId="4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BF3"/>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F77"/>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6D67"/>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2</Pages>
  <Words>885</Words>
  <Characters>5050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57</cp:revision>
  <cp:lastPrinted>2012-10-30T00:20:00Z</cp:lastPrinted>
  <dcterms:created xsi:type="dcterms:W3CDTF">2020-08-03T07:44:00Z</dcterms:created>
  <dcterms:modified xsi:type="dcterms:W3CDTF">2022-02-14T01:21:00Z</dcterms:modified>
</cp:coreProperties>
</file>